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C35" w:rsidRPr="003C0C35" w:rsidRDefault="003C0C35" w:rsidP="003C0C35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20" w:line="240" w:lineRule="auto"/>
        <w:jc w:val="center"/>
        <w:rPr>
          <w:rFonts w:ascii="Calibri" w:eastAsia="Calibri" w:hAnsi="Calibri" w:cs="Calibri"/>
          <w:b/>
          <w:bCs/>
          <w:lang w:val="pl-PL"/>
        </w:rPr>
      </w:pPr>
      <w:r w:rsidRPr="003C0C35">
        <w:rPr>
          <w:rFonts w:ascii="Calibri" w:hAnsi="Calibri"/>
          <w:b/>
          <w:bCs/>
          <w:lang w:val="pl-PL"/>
        </w:rPr>
        <w:t>Klauzula informacyjna dotycząca przetwarzania danych osobowych kandydata do pracy przez Przedsiębiorstwo Komunikacji Trolejbusowej Sp. z o.o. z siedzibą w Gdyni</w:t>
      </w:r>
    </w:p>
    <w:p w:rsidR="003C0C35" w:rsidRPr="003C0C35" w:rsidRDefault="003C0C35" w:rsidP="003C0C3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:lang w:val="pl-PL"/>
        </w:rPr>
      </w:pP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eastAsia="Calibri" w:hAnsi="Calibri" w:cs="Calibri"/>
          <w:i/>
          <w:iCs/>
          <w:sz w:val="20"/>
          <w:szCs w:val="20"/>
          <w:u w:color="000000"/>
          <w:lang w:val="pl-PL"/>
        </w:rPr>
      </w:pPr>
      <w:bookmarkStart w:id="0" w:name="_Hlk519596215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Administratorem danych osobowych kandydata do pracy jest </w:t>
      </w:r>
      <w:r w:rsidRPr="003C0C35">
        <w:rPr>
          <w:rFonts w:ascii="Calibri" w:hAnsi="Calibri"/>
          <w:i/>
          <w:iCs/>
          <w:spacing w:val="-1"/>
          <w:sz w:val="20"/>
          <w:szCs w:val="20"/>
          <w:u w:color="000000"/>
          <w:lang w:val="pl-PL"/>
        </w:rPr>
        <w:t>Przedsiębiorstwo Komunikacji Trolejbusowej Sp. z o.o.</w:t>
      </w:r>
      <w:r w:rsidRPr="003C0C35">
        <w:rPr>
          <w:rFonts w:ascii="Calibri" w:hAnsi="Calibri"/>
          <w:b/>
          <w:bCs/>
          <w:i/>
          <w:iCs/>
          <w:spacing w:val="-1"/>
          <w:sz w:val="20"/>
          <w:szCs w:val="20"/>
          <w:u w:color="000000"/>
          <w:lang w:val="pl-PL"/>
        </w:rPr>
        <w:t xml:space="preserve"> </w:t>
      </w:r>
      <w:r w:rsidRPr="003C0C35">
        <w:rPr>
          <w:rFonts w:ascii="Calibri" w:hAnsi="Calibri"/>
          <w:i/>
          <w:iCs/>
          <w:spacing w:val="-1"/>
          <w:sz w:val="20"/>
          <w:szCs w:val="20"/>
          <w:u w:color="000000"/>
          <w:lang w:val="pl-PL"/>
        </w:rPr>
        <w:t xml:space="preserve">z siedzibą w Gdyni, przy ul. Zakręt do Oksywia 1, 81-244 Gdynia, KRS 0000035725, NIP 5861924932, REGON 191304973, </w:t>
      </w:r>
      <w:hyperlink r:id="rId5" w:history="1">
        <w:r w:rsidRPr="003C0C35">
          <w:rPr>
            <w:rStyle w:val="Hyperlink0"/>
            <w:rFonts w:ascii="Calibri" w:hAnsi="Calibri"/>
            <w:i/>
            <w:iCs/>
            <w:sz w:val="20"/>
            <w:szCs w:val="20"/>
            <w:u w:color="000000"/>
            <w:lang w:val="pl-PL"/>
          </w:rPr>
          <w:t>www.pktgdynia.pl</w:t>
        </w:r>
      </w:hyperlink>
      <w:r w:rsidRPr="003C0C35">
        <w:rPr>
          <w:rFonts w:ascii="Calibri" w:hAnsi="Calibri"/>
          <w:i/>
          <w:iCs/>
          <w:spacing w:val="-1"/>
          <w:sz w:val="20"/>
          <w:szCs w:val="20"/>
          <w:u w:color="000000"/>
          <w:lang w:val="pl-PL"/>
        </w:rPr>
        <w:t xml:space="preserve">, </w:t>
      </w:r>
      <w:hyperlink r:id="rId6" w:history="1">
        <w:r w:rsidRPr="003C0C35">
          <w:rPr>
            <w:rStyle w:val="Hyperlink0"/>
            <w:rFonts w:ascii="Calibri" w:hAnsi="Calibri"/>
            <w:i/>
            <w:iCs/>
            <w:sz w:val="20"/>
            <w:szCs w:val="20"/>
            <w:u w:color="000000"/>
            <w:lang w:val="pl-PL"/>
          </w:rPr>
          <w:t>pkt@pktgdynia.pl</w:t>
        </w:r>
      </w:hyperlink>
      <w:r w:rsidRPr="003C0C35">
        <w:rPr>
          <w:rFonts w:ascii="Calibri" w:hAnsi="Calibri"/>
          <w:i/>
          <w:iCs/>
          <w:spacing w:val="-1"/>
          <w:sz w:val="20"/>
          <w:szCs w:val="20"/>
          <w:u w:color="000000"/>
          <w:lang w:val="pl-PL"/>
        </w:rPr>
        <w:t xml:space="preserve">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(dalej: „</w:t>
      </w: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>Administrator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”).</w:t>
      </w: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We wszelkich sprawach dotyczących przetwarzania danych osobowych przez Administratora można kontaktować się z Inspektorem Ochrony Danych drogą elektroniczną na następujący adres e-mail: </w:t>
      </w:r>
      <w:hyperlink r:id="rId7" w:history="1">
        <w:r w:rsidRPr="003C0C35">
          <w:rPr>
            <w:rStyle w:val="Hyperlink0"/>
            <w:rFonts w:ascii="Calibri" w:hAnsi="Calibri"/>
            <w:i/>
            <w:iCs/>
            <w:sz w:val="20"/>
            <w:szCs w:val="20"/>
            <w:u w:color="000000"/>
            <w:lang w:val="pl-PL"/>
          </w:rPr>
          <w:t>iod@pktgdynia.pl</w:t>
        </w:r>
      </w:hyperlink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 lub drogą poczty tradycyjnej na adres wskazany w pkt. 1 (z dopiskiem „Inspektor Ochrony Danych”).</w:t>
      </w: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Dane osobowe kandydata do pracy podane w procesie rekrutacji lub w związku ze zgłoszeniem o naruszeniu prawa przetwarzane będą lub mogą być w szczególności:</w:t>
      </w:r>
    </w:p>
    <w:p w:rsidR="003C0C35" w:rsidRPr="003C0C35" w:rsidRDefault="003C0C35" w:rsidP="003C0C35">
      <w:pPr>
        <w:pStyle w:val="Domylne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w celu wykonania obowiązków wynikających z przepisów prawa, związanych z procesem zatrudnienia, w tym przede wszystkim ustawy z dnia 26 czerwca 1974 roku Kodeks pracy – podstawą prawną przetwarzania jest obowiązek prawny ciążący na Administratorze (art. 6 ust. 1 lit c </w:t>
      </w:r>
      <w:r w:rsidRPr="003C0C35">
        <w:rPr>
          <w:rFonts w:ascii="Calibri" w:hAnsi="Calibri"/>
          <w:i/>
          <w:iCs/>
          <w:spacing w:val="-1"/>
          <w:sz w:val="20"/>
          <w:szCs w:val="20"/>
          <w:u w:color="000000"/>
          <w:lang w:val="pl-PL"/>
        </w:rPr>
        <w:t>Rozporządzenia PE i Rady (UE)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 2016/679 z dnia 27 kwietnia 2016 r. w sprawie ochrony osób fizycznych w związku z przetwarzaniem danych osobowych i w sprawie swobodnego przepływu takich danych oraz uchylenia dyrektywy 95/46/WE - dalej: „</w:t>
      </w: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>Rozporządzenie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”) w związku z przepisami ustawy z dnia Kodeksu pracy;</w:t>
      </w:r>
    </w:p>
    <w:p w:rsidR="003C0C35" w:rsidRPr="003C0C35" w:rsidRDefault="003C0C35" w:rsidP="003C0C35">
      <w:pPr>
        <w:pStyle w:val="Domylne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w celu przeprowadzenia procesu rekrutacji lub zatrudnienia w zakresie danych niewymaganych przepisami prawa, a także dla celów przyszłych procesów rekrutacyjnych – podstawą prawną przetwarzania jest zgoda (art. 6 ust. 1 lit a Rozporządzenia);</w:t>
      </w:r>
    </w:p>
    <w:p w:rsidR="003C0C35" w:rsidRPr="003C0C35" w:rsidRDefault="003C0C35" w:rsidP="003C0C35">
      <w:pPr>
        <w:pStyle w:val="Domylne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w celu wykonania obowiązków wynikających z przepisów prawa związanych z przyjmowaniem zgłoszeń o naruszeniach prawa, prowadzenia postępowań wyjaśniających lub podejmowania działań następczych - podstawą prawną przetwarzania jest obowiązek prawny ciążący na Administratorze (art. 6 ust. 1 lit c Rozporządzenia) w związku z przepisami ustawy z dnia 14.06.2024 r. o ochronie sygnalistów;</w:t>
      </w:r>
    </w:p>
    <w:p w:rsidR="003C0C35" w:rsidRPr="003C0C35" w:rsidRDefault="003C0C35" w:rsidP="003C0C35">
      <w:pPr>
        <w:pStyle w:val="Domylne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w celu ujawnienia osobom trzecim danych osobowych sygnalisty, </w:t>
      </w:r>
      <w:proofErr w:type="spellStart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pozwalających</w:t>
      </w:r>
      <w:proofErr w:type="spellEnd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 na ustalenie jego </w:t>
      </w:r>
      <w:proofErr w:type="spellStart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tożsamości</w:t>
      </w:r>
      <w:proofErr w:type="spellEnd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 (chyba że ujawnienie jest koniecznym i proporcjonalnym </w:t>
      </w:r>
      <w:proofErr w:type="spellStart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obowiązkiem</w:t>
      </w:r>
      <w:proofErr w:type="spellEnd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 </w:t>
      </w:r>
      <w:proofErr w:type="spellStart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wynikającym</w:t>
      </w:r>
      <w:proofErr w:type="spellEnd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 z przepisów prawa) – podstawą prawną przetwarzania jest zgoda (art. 6 ust. 1 lit a Rozporządzenia);</w:t>
      </w:r>
    </w:p>
    <w:p w:rsidR="003C0C35" w:rsidRPr="003C0C35" w:rsidRDefault="003C0C35" w:rsidP="003C0C35">
      <w:pPr>
        <w:pStyle w:val="Domylne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w celu ustalenia lub dochodzenia ewentualnych roszczeń lub obrony przed takimi roszczeniami – podstawą prawną przetwarzania danych jest prawnie uzasadniony interes Administratora lub strony trzeciej (art. 6 ust. 1 lit f Rozporządzenia);</w:t>
      </w:r>
    </w:p>
    <w:p w:rsidR="003C0C35" w:rsidRPr="003C0C35" w:rsidRDefault="003C0C35" w:rsidP="003C0C35">
      <w:pPr>
        <w:pStyle w:val="Domylne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w przypadku przebywania kandydata na terenie zakładu pracy Administratora, Administrator przetwarza  jego dane osobowe tj. wizerunek, sposób zachowania się lub inne dane kandydata, poprzez rejestrację w systemie monitoringu wizyjnego prowadzonego przez Administratora w celu zapewnienia bezpieczeństwa lub ochrony mienia lub zachowania w tajemnicy informacji, których ujawnienie mogłoby narazić Administratora na szkodę – podstawą prawną przetwarzania danych rejestrowanych w systemie monitoringu wizyjnego jest prawnie uzasadniony interes Administratora lub strony trzeciej (art. 6 ust. 1 lit f Rozporządzenia). </w:t>
      </w:r>
    </w:p>
    <w:p w:rsidR="003C0C35" w:rsidRPr="003C0C35" w:rsidRDefault="003C0C35" w:rsidP="003C0C35">
      <w:pPr>
        <w:pStyle w:val="Domylne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 xml:space="preserve">Ochrona tożsamości sygnalisty: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W związku z wymogiem podania w zgłoszeniu o naruszeniu prawa danych osobowych umożliwiających identyfikację tożsamości sygnalisty, dane osobowe sygnalisty nie podlegają ujawnieniu nieupoważnionym osobom (tzn. osobom spoza zespołu odpowiedzialnego za prowadzenie postępowania w zgłoszonej sprawie), chyba że za wyraźną i uprzednia zgodą sygnalisty. </w:t>
      </w:r>
    </w:p>
    <w:p w:rsidR="003C0C35" w:rsidRPr="003C0C35" w:rsidRDefault="003C0C35" w:rsidP="003C0C35">
      <w:pPr>
        <w:pStyle w:val="Domylne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 xml:space="preserve">Szczególne przypadki, gdy może dojść do ujawnienia danych osobowych sygnalisty: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W związku z postępowaniami wyjaśniającymi prowadzonymi przez organy publiczne lub postępowaniami przygotowawczymi lub sądowymi prowadzonymi przez sądy, w tym w celu zagwarantowania sygnaliście prawa do obrony, może dojść do ujawnienia danych sygnalisty, gdy takie działanie jest koniecznym i proporcjonalnym obowiązkiem wynikającym z przepisów prawa. Przed dokonaniem takiego ujawnienia, właściwy organ publiczny lub właściwy sąd powiadomi sygnalistę,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:rsidR="003C0C35" w:rsidRPr="003C0C35" w:rsidRDefault="003C0C35" w:rsidP="003C0C35">
      <w:pPr>
        <w:pStyle w:val="Domylne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Dane osobowe mogą być przekazywane podmiotom świadczącym usługi na rzecz Administratora związane z wykonywaniem procesu rekrutacyjnego, przyjmowaniem zgłoszeń sygnalistów, prowadzeniem postępowania wyjaśniającego lub podejmowaniem działań następczych, w tym podmiotom będącym dostawcami systemów informatycznych i usług IT, operatorom pocztowym i kurierom, podmiotom świadczącym usługi prawne (w tym podatkowe i windykacyjne) lub podmiotom świadczącym usługi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lastRenderedPageBreak/>
        <w:t>archiwizacji dokumentów. Dane osobowe mogą być także przekazywane uprawnionym organom lub innym podmiotom, w zakresie wymaganym przez obowiązujące przepisy prawa.</w:t>
      </w: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Okresy przechowywania (retencji) danych osobowych kandydata do pracy:</w:t>
      </w:r>
    </w:p>
    <w:p w:rsidR="003C0C35" w:rsidRPr="003C0C35" w:rsidRDefault="003C0C35" w:rsidP="003C0C35">
      <w:pPr>
        <w:pStyle w:val="Domylne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 xml:space="preserve">Rekrutacja: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Dane osobowe kandydata do pracy będą przechowywane przez okres trwania procesu rekrutacyjnego lub – w przypadku wyrażenia odpowiedniej zgody – przez okres 2 lat od daty zakończenia procesu rekrutacyjnego lub do chwili cofnięcia zgody. W przypadku zatrudnienia u Administratora dane osobowe kandydata do pracy podane w procesie rekrutacyjnym będą przetwarzane przez okres obowiązywania umowy o pracę. </w:t>
      </w:r>
    </w:p>
    <w:p w:rsidR="003C0C35" w:rsidRPr="003C0C35" w:rsidRDefault="003C0C35" w:rsidP="003C0C35">
      <w:pPr>
        <w:pStyle w:val="Domylne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 xml:space="preserve">Zgłoszenia o naruszeniach prawa: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Dane osobowe przetwarzane w związku z przyjęciem zgłoszenia, prowadzeniem postępowania wyjaśniającego lub podjęciem działań następczych oraz dokumenty związane z tym zgłoszeniem są przechowywane przez okres 3 lat po zakończeniu roku kalendarzowego, w którym przekazano Administratorowi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sprawy; </w:t>
      </w:r>
    </w:p>
    <w:p w:rsidR="003C0C35" w:rsidRPr="003C0C35" w:rsidRDefault="003C0C35" w:rsidP="003C0C35">
      <w:pPr>
        <w:pStyle w:val="Domylne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 xml:space="preserve">Monitoring wizyjny: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Nagrania obrazu z systemu monitoringu wizyjnego Administrator przechowuje przez okres nieprzekraczający 3 miesięcy od dnia nagrania, chyba że nagrania te stanowią dowód w postępowaniu prowadzonym na podstawie prawa lub Administrator powziął wiadomość, że mogą one stanowić dowód w postępowaniu - wtedy termin przechowywania nagrań ulega wydłużeniu do czasu prawomocnego zakończenia postępowania;</w:t>
      </w:r>
    </w:p>
    <w:p w:rsidR="003C0C35" w:rsidRPr="003C0C35" w:rsidRDefault="003C0C35" w:rsidP="003C0C35">
      <w:pPr>
        <w:pStyle w:val="Domylne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 xml:space="preserve">Roszczenia: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Okres przechowywania danych osobowych może zostać każdorazowo przedłużony o okres przedawnienia roszczeń, jeżeli przechowywanie danych osobowych będzie niezbędne dla dochodzenia ewentualnych roszczeń lub obrony przed takimi roszczeniami przez Administratora. </w:t>
      </w:r>
    </w:p>
    <w:p w:rsidR="003C0C35" w:rsidRPr="003C0C35" w:rsidRDefault="003C0C35" w:rsidP="003C0C35">
      <w:pPr>
        <w:pStyle w:val="Domylne"/>
        <w:numPr>
          <w:ilvl w:val="0"/>
          <w:numId w:val="7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b/>
          <w:bCs/>
          <w:i/>
          <w:iCs/>
          <w:sz w:val="20"/>
          <w:szCs w:val="20"/>
          <w:u w:color="000000"/>
          <w:lang w:val="pl-PL"/>
        </w:rPr>
        <w:t xml:space="preserve">Wymogi przepisów prawa: </w:t>
      </w: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Po okresach wskazanych powyżej dane będą przechowywane jedynie w zakresie i przez czas wymagany przepisami prawa.</w:t>
      </w: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Kandydat do pracy ma prawo do cofnięcia zgody na przetwarzanie danych osobowych w dowolnym momencie, bez wpływu na zgodność z prawem przetwarzania, którego dokonano na podstawie zgody przed jej cofnięciem. Wycofania zgody </w:t>
      </w:r>
      <w:bookmarkEnd w:id="0"/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można dokonać poprzez wysłanie odpowiedniego żądania na adres pocztowy Administratora lub drogą mailową na adres e-mail:</w:t>
      </w:r>
    </w:p>
    <w:p w:rsidR="003C0C35" w:rsidRPr="003C0C35" w:rsidRDefault="003C0C35" w:rsidP="003C0C35">
      <w:pPr>
        <w:pStyle w:val="Domylne"/>
        <w:numPr>
          <w:ilvl w:val="0"/>
          <w:numId w:val="8"/>
        </w:numPr>
        <w:spacing w:before="0" w:line="240" w:lineRule="auto"/>
        <w:jc w:val="both"/>
        <w:rPr>
          <w:rFonts w:ascii="Calibri" w:eastAsia="Calibri" w:hAnsi="Calibri" w:cs="Calibri"/>
          <w:i/>
          <w:iCs/>
          <w:sz w:val="20"/>
          <w:szCs w:val="20"/>
          <w:u w:color="000000"/>
          <w:lang w:val="pl-PL"/>
        </w:rPr>
      </w:pPr>
      <w:hyperlink r:id="rId8" w:history="1">
        <w:r w:rsidRPr="003C0C35">
          <w:rPr>
            <w:rStyle w:val="Hyperlink0"/>
            <w:rFonts w:ascii="Calibri" w:hAnsi="Calibri"/>
            <w:i/>
            <w:iCs/>
            <w:sz w:val="20"/>
            <w:szCs w:val="20"/>
            <w:u w:color="000000"/>
            <w:lang w:val="pl-PL"/>
          </w:rPr>
          <w:t>iod@pktgdynia.pl</w:t>
        </w:r>
      </w:hyperlink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 - w przypadku zgody udzielonej w celu przeprowadzenia procesu rekrutacji; </w:t>
      </w:r>
    </w:p>
    <w:p w:rsidR="003C0C35" w:rsidRPr="003C0C35" w:rsidRDefault="003C0C35" w:rsidP="003C0C35">
      <w:pPr>
        <w:pStyle w:val="Domylne"/>
        <w:numPr>
          <w:ilvl w:val="0"/>
          <w:numId w:val="8"/>
        </w:numPr>
        <w:spacing w:before="0" w:line="240" w:lineRule="auto"/>
        <w:jc w:val="both"/>
        <w:rPr>
          <w:rFonts w:ascii="Calibri" w:eastAsia="Calibri" w:hAnsi="Calibri" w:cs="Calibri"/>
          <w:i/>
          <w:iCs/>
          <w:sz w:val="20"/>
          <w:szCs w:val="20"/>
          <w:u w:color="000000"/>
          <w:lang w:val="pl-PL"/>
        </w:rPr>
      </w:pPr>
      <w:hyperlink r:id="rId9" w:history="1">
        <w:r w:rsidRPr="003C0C35">
          <w:rPr>
            <w:rStyle w:val="Hyperlink0"/>
            <w:rFonts w:ascii="Calibri" w:hAnsi="Calibri"/>
            <w:i/>
            <w:iCs/>
            <w:sz w:val="20"/>
            <w:szCs w:val="20"/>
            <w:u w:color="000000"/>
            <w:lang w:val="pl-PL"/>
          </w:rPr>
          <w:t>zgloszenie@pktgdynia.pl</w:t>
        </w:r>
      </w:hyperlink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 - w przypadku zgody sygnalisty na ujawnienie jego danych osobowych.</w:t>
      </w: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Podmiotowi danych przysługuje prawo dostępu do treści danych oraz żądania ich sprostowania, usunięcia, ograniczenia przetwarzania oraz prawo do przenoszenia danych osobowych.</w:t>
      </w: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Podmiotowi danych przysługuje także prawo wniesienia sprzeciwu względem przetwarzania danych osobowych opartego na prawnie uzasadnionym interesie Administratora lub strony trzeciej (art. 6 ust. 1 pkt f Rozporządzenia), jeżeli dalsze przetwarzanie nie jest niezbędne do wywiązania się przez Administratora z obowiązku prawnego i nie występują inne nadrzędne prawne podstawy przetwarzania. </w:t>
      </w: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Podmiotowi danych przysługuje także prawo wniesienia skargi do organu nadzorczego zajmującego się ochroną danych osobowych (w Polsce Prezes UODO - </w:t>
      </w:r>
      <w:hyperlink r:id="rId10" w:history="1">
        <w:r w:rsidRPr="003C0C35">
          <w:rPr>
            <w:rStyle w:val="Hyperlink0"/>
            <w:rFonts w:ascii="Calibri" w:hAnsi="Calibri"/>
            <w:i/>
            <w:iCs/>
            <w:sz w:val="20"/>
            <w:szCs w:val="20"/>
            <w:u w:color="000000"/>
            <w:lang w:val="pl-PL"/>
          </w:rPr>
          <w:t>www.uodo.gov.pl</w:t>
        </w:r>
      </w:hyperlink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>), gdy uzna, że przetwarzanie danych osobowych narusza przepisy Rozporządzenia.</w:t>
      </w:r>
    </w:p>
    <w:p w:rsidR="003C0C35" w:rsidRPr="003C0C35" w:rsidRDefault="003C0C35" w:rsidP="003C0C3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Calibri" w:hAnsi="Calibri"/>
          <w:i/>
          <w:iCs/>
          <w:sz w:val="20"/>
          <w:szCs w:val="20"/>
          <w:u w:color="000000"/>
          <w:lang w:val="pl-PL"/>
        </w:rPr>
      </w:pPr>
      <w:r w:rsidRPr="003C0C35">
        <w:rPr>
          <w:rFonts w:ascii="Calibri" w:hAnsi="Calibri"/>
          <w:i/>
          <w:iCs/>
          <w:sz w:val="20"/>
          <w:szCs w:val="20"/>
          <w:u w:color="000000"/>
          <w:lang w:val="pl-PL"/>
        </w:rPr>
        <w:t xml:space="preserve">Podanie danych osobowych przez kandydata do pracy jest zasadniczo wymagane na podstawie przepisów prawa. W zakresie danych niewymaganych przepisami prawa, podanie danych następuje na zasadzie dobrowolności. Podanie danych przez sygnalistę jest dobrowolne. Brak podania danych będzie skutkował brakiem możliwości uwzględnienia zgłoszenia rekrutacyjnego w postępowaniu rekrutacyjnym lub brakiem możliwości rozpatrzenia zgłoszenia sygnalisty. </w:t>
      </w:r>
    </w:p>
    <w:p w:rsidR="00133C9F" w:rsidRPr="003C0C35" w:rsidRDefault="00133C9F">
      <w:pPr>
        <w:rPr>
          <w:sz w:val="20"/>
          <w:szCs w:val="20"/>
        </w:rPr>
      </w:pPr>
    </w:p>
    <w:sectPr w:rsidR="00133C9F" w:rsidRPr="003C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856"/>
    <w:multiLevelType w:val="hybridMultilevel"/>
    <w:tmpl w:val="0E16E65A"/>
    <w:styleLink w:val="Zaimportowanystyl3"/>
    <w:lvl w:ilvl="0" w:tplc="B8425262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96C5D6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0" w:hanging="7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66D41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" w:hanging="28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04A4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F02A3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E493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28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88960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62FB9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00A80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28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0641E1"/>
    <w:multiLevelType w:val="hybridMultilevel"/>
    <w:tmpl w:val="0E16E65A"/>
    <w:numStyleLink w:val="Zaimportowanystyl3"/>
  </w:abstractNum>
  <w:abstractNum w:abstractNumId="2" w15:restartNumberingAfterBreak="0">
    <w:nsid w:val="1BDE4DD5"/>
    <w:multiLevelType w:val="hybridMultilevel"/>
    <w:tmpl w:val="3E743164"/>
    <w:styleLink w:val="Litery"/>
    <w:lvl w:ilvl="0" w:tplc="225A2C76">
      <w:start w:val="1"/>
      <w:numFmt w:val="lowerLetter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02BBAA">
      <w:start w:val="1"/>
      <w:numFmt w:val="upp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4" w:hanging="3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CA4354">
      <w:start w:val="1"/>
      <w:numFmt w:val="upperLetter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4" w:hanging="3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27CB8">
      <w:start w:val="1"/>
      <w:numFmt w:val="upperLetter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4" w:hanging="3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2A10A">
      <w:start w:val="1"/>
      <w:numFmt w:val="upp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4" w:hanging="3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0A1CA4">
      <w:start w:val="1"/>
      <w:numFmt w:val="upperLetter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44" w:hanging="3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3EC74A">
      <w:start w:val="1"/>
      <w:numFmt w:val="upperLetter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4" w:hanging="3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92A20E">
      <w:start w:val="1"/>
      <w:numFmt w:val="upperLetter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64" w:hanging="3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2706C">
      <w:start w:val="1"/>
      <w:numFmt w:val="upperLetter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4" w:hanging="3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1220CC"/>
    <w:multiLevelType w:val="hybridMultilevel"/>
    <w:tmpl w:val="6DFCCB76"/>
    <w:numStyleLink w:val="Zaimportowanystyl4"/>
  </w:abstractNum>
  <w:abstractNum w:abstractNumId="4" w15:restartNumberingAfterBreak="0">
    <w:nsid w:val="3C3D3A4C"/>
    <w:multiLevelType w:val="hybridMultilevel"/>
    <w:tmpl w:val="6DFCCB76"/>
    <w:styleLink w:val="Zaimportowanystyl4"/>
    <w:lvl w:ilvl="0" w:tplc="2B9445F0">
      <w:start w:val="1"/>
      <w:numFmt w:val="lowerLetter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4E1AC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23" w:hanging="62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F03F3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4" w:hanging="20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2B23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" w:hanging="28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B6719E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6C4A52">
      <w:start w:val="1"/>
      <w:numFmt w:val="lowerRoman"/>
      <w:lvlText w:val="%6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9" w:hanging="20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126EF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49" w:hanging="28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6E2B3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69" w:hanging="28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704C9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89" w:hanging="20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7E7C88"/>
    <w:multiLevelType w:val="hybridMultilevel"/>
    <w:tmpl w:val="3E743164"/>
    <w:numStyleLink w:val="Litery"/>
  </w:abstractNum>
  <w:num w:numId="1" w16cid:durableId="1017077968">
    <w:abstractNumId w:val="0"/>
  </w:num>
  <w:num w:numId="2" w16cid:durableId="1158687645">
    <w:abstractNumId w:val="1"/>
  </w:num>
  <w:num w:numId="3" w16cid:durableId="1030489618">
    <w:abstractNumId w:val="4"/>
  </w:num>
  <w:num w:numId="4" w16cid:durableId="1892619821">
    <w:abstractNumId w:val="3"/>
  </w:num>
  <w:num w:numId="5" w16cid:durableId="2055040682">
    <w:abstractNumId w:val="1"/>
    <w:lvlOverride w:ilvl="0">
      <w:startOverride w:val="4"/>
      <w:lvl w:ilvl="0" w:tplc="DB2007D0">
        <w:start w:val="4"/>
        <w:numFmt w:val="decimal"/>
        <w:lvlText w:val="%1)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8749E44">
        <w:start w:val="1"/>
        <w:numFmt w:val="lowerLetter"/>
        <w:lvlText w:val="%2)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00" w:hanging="7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BE0CBC4">
        <w:start w:val="1"/>
        <w:numFmt w:val="lowerRoman"/>
        <w:lvlText w:val="%3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1" w:hanging="28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9F41F8C">
        <w:start w:val="1"/>
        <w:numFmt w:val="decimal"/>
        <w:lvlText w:val="%4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BEBE1E">
        <w:start w:val="1"/>
        <w:numFmt w:val="lowerLetter"/>
        <w:lvlText w:val="%5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8A62F4">
        <w:start w:val="1"/>
        <w:numFmt w:val="lowerRoman"/>
        <w:lvlText w:val="%6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46" w:hanging="28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D6413A">
        <w:start w:val="1"/>
        <w:numFmt w:val="decimal"/>
        <w:lvlText w:val="%7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66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C66B028">
        <w:start w:val="1"/>
        <w:numFmt w:val="lowerLetter"/>
        <w:lvlText w:val="%8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86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C820B9C">
        <w:start w:val="1"/>
        <w:numFmt w:val="lowerRoman"/>
        <w:lvlText w:val="%9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06" w:hanging="28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2737739">
    <w:abstractNumId w:val="2"/>
  </w:num>
  <w:num w:numId="7" w16cid:durableId="1080954081">
    <w:abstractNumId w:val="5"/>
  </w:num>
  <w:num w:numId="8" w16cid:durableId="528840921">
    <w:abstractNumId w:val="5"/>
    <w:lvlOverride w:ilvl="0">
      <w:startOverride w:val="1"/>
      <w:lvl w:ilvl="0" w:tplc="2C9A716C">
        <w:start w:val="1"/>
        <w:numFmt w:val="lowerLetter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09" w:hanging="28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4A775A">
        <w:start w:val="1"/>
        <w:numFmt w:val="upp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04" w:hanging="3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BE3E24">
        <w:start w:val="1"/>
        <w:numFmt w:val="upperLetter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64" w:hanging="3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39C46E0">
        <w:start w:val="1"/>
        <w:numFmt w:val="upperLetter"/>
        <w:lvlText w:val="%4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4" w:hanging="3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0B43058">
        <w:start w:val="1"/>
        <w:numFmt w:val="upp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84" w:hanging="3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4A4C208">
        <w:start w:val="1"/>
        <w:numFmt w:val="upperLetter"/>
        <w:lvlText w:val="%6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44" w:hanging="3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4EDC1E">
        <w:start w:val="1"/>
        <w:numFmt w:val="upperLetter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04" w:hanging="3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5D00A86">
        <w:start w:val="1"/>
        <w:numFmt w:val="upp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64" w:hanging="3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E527248">
        <w:start w:val="1"/>
        <w:numFmt w:val="upp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24" w:hanging="3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35"/>
    <w:rsid w:val="00133C9F"/>
    <w:rsid w:val="00245AD4"/>
    <w:rsid w:val="00342235"/>
    <w:rsid w:val="003C0C35"/>
    <w:rsid w:val="00B70186"/>
    <w:rsid w:val="00F1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74D79"/>
  <w15:chartTrackingRefBased/>
  <w15:docId w15:val="{A491F9F0-38CF-714B-9A5E-015AC26B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C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C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C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C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C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C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C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C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C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C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C35"/>
    <w:rPr>
      <w:b/>
      <w:bCs/>
      <w:smallCaps/>
      <w:color w:val="0F4761" w:themeColor="accent1" w:themeShade="BF"/>
      <w:spacing w:val="5"/>
    </w:rPr>
  </w:style>
  <w:style w:type="paragraph" w:customStyle="1" w:styleId="Domylne">
    <w:name w:val="Domyślne"/>
    <w:rsid w:val="003C0C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de-DE"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3">
    <w:name w:val="Zaimportowany styl 3"/>
    <w:rsid w:val="003C0C35"/>
    <w:pPr>
      <w:numPr>
        <w:numId w:val="1"/>
      </w:numPr>
    </w:pPr>
  </w:style>
  <w:style w:type="character" w:customStyle="1" w:styleId="Hyperlink0">
    <w:name w:val="Hyperlink.0"/>
    <w:basedOn w:val="Hipercze"/>
    <w:rsid w:val="003C0C35"/>
    <w:rPr>
      <w:color w:val="467886" w:themeColor="hyperlink"/>
      <w:u w:val="single"/>
    </w:rPr>
  </w:style>
  <w:style w:type="numbering" w:customStyle="1" w:styleId="Zaimportowanystyl4">
    <w:name w:val="Zaimportowany styl 4"/>
    <w:rsid w:val="003C0C35"/>
    <w:pPr>
      <w:numPr>
        <w:numId w:val="3"/>
      </w:numPr>
    </w:pPr>
  </w:style>
  <w:style w:type="numbering" w:customStyle="1" w:styleId="Litery">
    <w:name w:val="Litery"/>
    <w:rsid w:val="003C0C35"/>
    <w:pPr>
      <w:numPr>
        <w:numId w:val="6"/>
      </w:numPr>
    </w:pPr>
  </w:style>
  <w:style w:type="character" w:styleId="Hipercze">
    <w:name w:val="Hyperlink"/>
    <w:basedOn w:val="Domylnaczcionkaakapitu"/>
    <w:uiPriority w:val="99"/>
    <w:semiHidden/>
    <w:unhideWhenUsed/>
    <w:rsid w:val="003C0C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kt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ktgdy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t@pktgdyni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ktgdynia.pl" TargetMode="External"/><Relationship Id="rId10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gloszenie@pkt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1291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2025-12-19T09:12:00Z</dcterms:created>
  <dcterms:modified xsi:type="dcterms:W3CDTF">2025-12-19T09:15:00Z</dcterms:modified>
</cp:coreProperties>
</file>